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D7C" w:rsidRPr="004B4D7C" w:rsidRDefault="004B4D7C" w:rsidP="004B4D7C">
      <w:pPr>
        <w:pBdr>
          <w:bottom w:val="single" w:sz="6" w:space="9" w:color="EBEBEB"/>
        </w:pBdr>
        <w:shd w:val="clear" w:color="auto" w:fill="FFFFFF"/>
        <w:spacing w:after="0" w:line="465" w:lineRule="atLeast"/>
        <w:textAlignment w:val="baseline"/>
        <w:outlineLvl w:val="0"/>
        <w:rPr>
          <w:rFonts w:ascii="Arial" w:eastAsia="Times New Roman" w:hAnsi="Arial" w:cs="Arial"/>
          <w:color w:val="002F5F"/>
          <w:kern w:val="36"/>
          <w:sz w:val="47"/>
          <w:szCs w:val="47"/>
          <w:lang w:eastAsia="cs-CZ"/>
        </w:rPr>
      </w:pPr>
      <w:r w:rsidRPr="004B4D7C">
        <w:rPr>
          <w:rFonts w:ascii="Arial" w:eastAsia="Times New Roman" w:hAnsi="Arial" w:cs="Arial"/>
          <w:color w:val="002F5F"/>
          <w:kern w:val="36"/>
          <w:sz w:val="47"/>
          <w:szCs w:val="47"/>
          <w:lang w:eastAsia="cs-CZ"/>
        </w:rPr>
        <w:t xml:space="preserve">NUTRILITE™ Ginkgo </w:t>
      </w:r>
      <w:proofErr w:type="spellStart"/>
      <w:r w:rsidRPr="004B4D7C">
        <w:rPr>
          <w:rFonts w:ascii="Arial" w:eastAsia="Times New Roman" w:hAnsi="Arial" w:cs="Arial"/>
          <w:color w:val="002F5F"/>
          <w:kern w:val="36"/>
          <w:sz w:val="47"/>
          <w:szCs w:val="47"/>
          <w:lang w:eastAsia="cs-CZ"/>
        </w:rPr>
        <w:t>biloba</w:t>
      </w:r>
      <w:proofErr w:type="spellEnd"/>
      <w:r w:rsidRPr="004B4D7C">
        <w:rPr>
          <w:rFonts w:ascii="Arial" w:eastAsia="Times New Roman" w:hAnsi="Arial" w:cs="Arial"/>
          <w:color w:val="002F5F"/>
          <w:kern w:val="36"/>
          <w:sz w:val="47"/>
          <w:szCs w:val="47"/>
          <w:lang w:eastAsia="cs-CZ"/>
        </w:rPr>
        <w:t xml:space="preserve"> and DHA</w:t>
      </w:r>
    </w:p>
    <w:p w:rsidR="00A94CA2" w:rsidRDefault="00F60334">
      <w:r>
        <w:rPr>
          <w:noProof/>
          <w:lang w:eastAsia="cs-CZ"/>
        </w:rPr>
        <w:drawing>
          <wp:inline distT="0" distB="0" distL="0" distR="0">
            <wp:extent cx="4064000" cy="4064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44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334" w:rsidRDefault="00F60334"/>
    <w:p w:rsidR="00177D5D" w:rsidRDefault="00177D5D"/>
    <w:p w:rsidR="00177D5D" w:rsidRDefault="00177D5D">
      <w:pPr>
        <w:rPr>
          <w:rFonts w:ascii="Arial" w:hAnsi="Arial" w:cs="Arial"/>
          <w:color w:val="494949"/>
          <w:sz w:val="18"/>
          <w:szCs w:val="18"/>
          <w:shd w:val="clear" w:color="auto" w:fill="FEFEFE"/>
        </w:rPr>
      </w:pPr>
      <w:r>
        <w:t>Přehled:</w:t>
      </w:r>
      <w:r>
        <w:br/>
      </w:r>
      <w:r>
        <w:rPr>
          <w:rFonts w:ascii="Arial" w:hAnsi="Arial" w:cs="Arial"/>
          <w:color w:val="494949"/>
          <w:sz w:val="18"/>
          <w:szCs w:val="18"/>
          <w:shd w:val="clear" w:color="auto" w:fill="FEFEFE"/>
        </w:rPr>
        <w:t xml:space="preserve">Tento exkluzivní přípravek obsahuje speciální kombinaci rostlinných výtažků a koncentrátů NUTRILITE. DHA (kyselina </w:t>
      </w:r>
      <w:proofErr w:type="spellStart"/>
      <w:r>
        <w:rPr>
          <w:rFonts w:ascii="Arial" w:hAnsi="Arial" w:cs="Arial"/>
          <w:color w:val="494949"/>
          <w:sz w:val="18"/>
          <w:szCs w:val="18"/>
          <w:shd w:val="clear" w:color="auto" w:fill="FEFEFE"/>
        </w:rPr>
        <w:t>dokosahexaenová</w:t>
      </w:r>
      <w:proofErr w:type="spellEnd"/>
      <w:r>
        <w:rPr>
          <w:rFonts w:ascii="Arial" w:hAnsi="Arial" w:cs="Arial"/>
          <w:color w:val="494949"/>
          <w:sz w:val="18"/>
          <w:szCs w:val="18"/>
          <w:shd w:val="clear" w:color="auto" w:fill="FEFEFE"/>
        </w:rPr>
        <w:t>) je esenciální mastná kyselina, která je ve vysokých koncentracích obsažena i v lidském mozku. Dobrým zdrojem DHA je tuňákový olej. DHA přispívá k podpoře periferní cirkulace. Tohoto pozitivního účinku lze dosáhnout při denním příjmu 250 mg DHA.</w:t>
      </w:r>
    </w:p>
    <w:p w:rsidR="00177D5D" w:rsidRDefault="00177D5D">
      <w:pPr>
        <w:rPr>
          <w:rFonts w:ascii="Arial" w:hAnsi="Arial" w:cs="Arial"/>
          <w:color w:val="494949"/>
          <w:sz w:val="18"/>
          <w:szCs w:val="18"/>
          <w:shd w:val="clear" w:color="auto" w:fill="FEFEFE"/>
        </w:rPr>
      </w:pPr>
    </w:p>
    <w:p w:rsidR="00177D5D" w:rsidRPr="00177D5D" w:rsidRDefault="00177D5D" w:rsidP="00177D5D">
      <w:pPr>
        <w:numPr>
          <w:ilvl w:val="0"/>
          <w:numId w:val="1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>
        <w:rPr>
          <w:rFonts w:ascii="Arial" w:hAnsi="Arial" w:cs="Arial"/>
          <w:color w:val="494949"/>
          <w:sz w:val="18"/>
          <w:szCs w:val="18"/>
          <w:shd w:val="clear" w:color="auto" w:fill="FEFEFE"/>
        </w:rPr>
        <w:t>Vlastnosti:</w:t>
      </w:r>
      <w:r>
        <w:rPr>
          <w:rFonts w:ascii="Arial" w:hAnsi="Arial" w:cs="Arial"/>
          <w:color w:val="494949"/>
          <w:sz w:val="18"/>
          <w:szCs w:val="18"/>
          <w:shd w:val="clear" w:color="auto" w:fill="FEFEFE"/>
        </w:rPr>
        <w:br/>
      </w: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Jinan dvoulaločný (</w:t>
      </w:r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 xml:space="preserve">Ginkgo </w:t>
      </w:r>
      <w:proofErr w:type="spellStart"/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>biloba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 xml:space="preserve">) v kombinaci s </w:t>
      </w:r>
      <w:proofErr w:type="spellStart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polynasycenými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 xml:space="preserve"> mastnými kyselinami (DHA, kyselina </w:t>
      </w:r>
      <w:proofErr w:type="spellStart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dokosahexaenová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) přispívá k lepší koncentraci a zachování kognitivních funkcí.</w:t>
      </w:r>
    </w:p>
    <w:p w:rsidR="00177D5D" w:rsidRPr="00177D5D" w:rsidRDefault="00177D5D" w:rsidP="00177D5D">
      <w:pPr>
        <w:numPr>
          <w:ilvl w:val="0"/>
          <w:numId w:val="1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Přispívá také k dobrému sluchu a zraku.</w:t>
      </w:r>
    </w:p>
    <w:p w:rsidR="00177D5D" w:rsidRPr="00177D5D" w:rsidRDefault="00177D5D" w:rsidP="00177D5D">
      <w:pPr>
        <w:numPr>
          <w:ilvl w:val="0"/>
          <w:numId w:val="1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Bez přídavku umělých barviv a konzervačních látek.</w:t>
      </w:r>
    </w:p>
    <w:p w:rsidR="00177D5D" w:rsidRDefault="00177D5D"/>
    <w:p w:rsidR="00177D5D" w:rsidRDefault="00177D5D">
      <w:r>
        <w:t>Složení</w:t>
      </w:r>
      <w:r>
        <w:br/>
      </w:r>
    </w:p>
    <w:tbl>
      <w:tblPr>
        <w:tblW w:w="104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4"/>
        <w:gridCol w:w="3941"/>
      </w:tblGrid>
      <w:tr w:rsidR="00177D5D" w:rsidRPr="00177D5D" w:rsidTr="00177D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cs-CZ"/>
              </w:rPr>
              <w:t>PRŮMĚRNÝ OBSAH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cs-CZ"/>
              </w:rPr>
              <w:t> V 1 KAPSLI </w:t>
            </w:r>
          </w:p>
        </w:tc>
      </w:tr>
      <w:tr w:rsidR="00177D5D" w:rsidRPr="00177D5D" w:rsidTr="00177D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 xml:space="preserve">Extrakt z Ginkgo </w:t>
            </w:r>
            <w:proofErr w:type="spellStart"/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biloba</w:t>
            </w:r>
            <w:proofErr w:type="spellEnd"/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55 mg</w:t>
            </w:r>
          </w:p>
        </w:tc>
      </w:tr>
      <w:tr w:rsidR="00177D5D" w:rsidRPr="00177D5D" w:rsidTr="00177D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Tuňákový olej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274 mg</w:t>
            </w:r>
          </w:p>
        </w:tc>
      </w:tr>
      <w:tr w:rsidR="00177D5D" w:rsidRPr="00177D5D" w:rsidTr="00177D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Kyselina DHA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7D5D" w:rsidRPr="00177D5D" w:rsidRDefault="00177D5D" w:rsidP="00177D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  <w:r w:rsidRPr="00177D5D"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  <w:t>60 mg</w:t>
            </w:r>
          </w:p>
        </w:tc>
      </w:tr>
    </w:tbl>
    <w:p w:rsidR="00177D5D" w:rsidRPr="00177D5D" w:rsidRDefault="00177D5D" w:rsidP="00177D5D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 </w:t>
      </w:r>
    </w:p>
    <w:p w:rsidR="00177D5D" w:rsidRPr="00177D5D" w:rsidRDefault="00177D5D" w:rsidP="00177D5D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177D5D">
        <w:rPr>
          <w:rFonts w:ascii="Arial" w:eastAsia="Times New Roman" w:hAnsi="Arial" w:cs="Arial"/>
          <w:b/>
          <w:bCs/>
          <w:color w:val="494949"/>
          <w:sz w:val="18"/>
          <w:szCs w:val="18"/>
          <w:bdr w:val="none" w:sz="0" w:space="0" w:color="auto" w:frame="1"/>
          <w:lang w:eastAsia="cs-CZ"/>
        </w:rPr>
        <w:lastRenderedPageBreak/>
        <w:t>SLOŽENÍ: tuňákový </w:t>
      </w: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olej, želatina, zvlhčující látka (glycerol), extra panenský olivový olej, extrakt z </w:t>
      </w:r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 xml:space="preserve">Ginkgo </w:t>
      </w:r>
      <w:proofErr w:type="spellStart"/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>biloba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 xml:space="preserve">, lešticí látka (žlutý včelí vosk), maltodextrin, voda, extrakt z </w:t>
      </w:r>
      <w:proofErr w:type="spellStart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Gotu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 xml:space="preserve"> kola (3,2%), pomerančový extrakt (</w:t>
      </w:r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 xml:space="preserve">Citrus </w:t>
      </w:r>
      <w:proofErr w:type="spellStart"/>
      <w:proofErr w:type="gramStart"/>
      <w:r w:rsidRPr="00177D5D">
        <w:rPr>
          <w:rFonts w:ascii="Arial" w:eastAsia="Times New Roman" w:hAnsi="Arial" w:cs="Arial"/>
          <w:i/>
          <w:iCs/>
          <w:color w:val="494949"/>
          <w:sz w:val="18"/>
          <w:szCs w:val="18"/>
          <w:bdr w:val="none" w:sz="0" w:space="0" w:color="auto" w:frame="1"/>
          <w:lang w:eastAsia="cs-CZ"/>
        </w:rPr>
        <w:t>sinensis</w:t>
      </w:r>
      <w:proofErr w:type="spell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) (1,6%</w:t>
      </w:r>
      <w:proofErr w:type="gramEnd"/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), emulgátor (</w:t>
      </w:r>
      <w:r w:rsidRPr="00177D5D">
        <w:rPr>
          <w:rFonts w:ascii="Arial" w:eastAsia="Times New Roman" w:hAnsi="Arial" w:cs="Arial"/>
          <w:b/>
          <w:bCs/>
          <w:color w:val="494949"/>
          <w:sz w:val="18"/>
          <w:szCs w:val="18"/>
          <w:bdr w:val="none" w:sz="0" w:space="0" w:color="auto" w:frame="1"/>
          <w:lang w:eastAsia="cs-CZ"/>
        </w:rPr>
        <w:t>sójový </w:t>
      </w: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lecitin), barvivo (amoniak-</w:t>
      </w:r>
      <w:r w:rsidRPr="00177D5D">
        <w:rPr>
          <w:rFonts w:ascii="Arial" w:eastAsia="Times New Roman" w:hAnsi="Arial" w:cs="Arial"/>
          <w:b/>
          <w:bCs/>
          <w:color w:val="494949"/>
          <w:sz w:val="18"/>
          <w:szCs w:val="18"/>
          <w:bdr w:val="none" w:sz="0" w:space="0" w:color="auto" w:frame="1"/>
          <w:lang w:eastAsia="cs-CZ"/>
        </w:rPr>
        <w:t>sulfitový</w:t>
      </w:r>
      <w:r w:rsidRPr="00177D5D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 karamel), přírodní příchuť máty, přírodní směs karotenoidů.</w:t>
      </w:r>
    </w:p>
    <w:p w:rsidR="00177D5D" w:rsidRDefault="00177D5D"/>
    <w:p w:rsidR="00F60334" w:rsidRDefault="00F60334"/>
    <w:p w:rsidR="00F60334" w:rsidRPr="00F60334" w:rsidRDefault="00F60334" w:rsidP="00F60334">
      <w:pPr>
        <w:numPr>
          <w:ilvl w:val="0"/>
          <w:numId w:val="2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>
        <w:t>Doporučené použití</w:t>
      </w:r>
      <w:r>
        <w:br/>
      </w: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Lidé, kteří chtějí využít prospěšných vlastností rostlinných výtažků.</w:t>
      </w:r>
    </w:p>
    <w:p w:rsidR="00F60334" w:rsidRPr="00F60334" w:rsidRDefault="00F60334" w:rsidP="00F60334">
      <w:pPr>
        <w:numPr>
          <w:ilvl w:val="0"/>
          <w:numId w:val="2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Lidé, kteří chtějí doplnit svou stravu přírodními látkami.</w:t>
      </w:r>
    </w:p>
    <w:p w:rsidR="00F60334" w:rsidRPr="00F60334" w:rsidRDefault="00F60334" w:rsidP="00F60334">
      <w:pPr>
        <w:numPr>
          <w:ilvl w:val="0"/>
          <w:numId w:val="2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Lidé, kteří vzhledem k věku pociťují zhoršení kognitivních funkcí.</w:t>
      </w:r>
    </w:p>
    <w:p w:rsidR="00F60334" w:rsidRPr="00F60334" w:rsidRDefault="00F60334" w:rsidP="00F60334">
      <w:pPr>
        <w:numPr>
          <w:ilvl w:val="0"/>
          <w:numId w:val="2"/>
        </w:numPr>
        <w:shd w:val="clear" w:color="auto" w:fill="FEFEFE"/>
        <w:spacing w:after="0" w:line="270" w:lineRule="atLeast"/>
        <w:ind w:left="0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Lidé, kteří si přejí pečovat o svůj sluch a zrak.</w:t>
      </w:r>
    </w:p>
    <w:p w:rsidR="00F60334" w:rsidRPr="00F60334" w:rsidRDefault="00F60334" w:rsidP="00F60334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b/>
          <w:bCs/>
          <w:color w:val="494949"/>
          <w:sz w:val="18"/>
          <w:szCs w:val="18"/>
          <w:bdr w:val="none" w:sz="0" w:space="0" w:color="auto" w:frame="1"/>
          <w:lang w:eastAsia="cs-CZ"/>
        </w:rPr>
        <w:t>Doporučené dávkování</w:t>
      </w:r>
    </w:p>
    <w:p w:rsidR="00F60334" w:rsidRPr="00F60334" w:rsidRDefault="00F60334" w:rsidP="00F60334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Užívejte jednu kapslí denně, nejlépe s jídlem.</w:t>
      </w:r>
    </w:p>
    <w:p w:rsidR="00F60334" w:rsidRPr="00F60334" w:rsidRDefault="00F60334" w:rsidP="00F60334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b/>
          <w:bCs/>
          <w:color w:val="494949"/>
          <w:sz w:val="18"/>
          <w:szCs w:val="18"/>
          <w:bdr w:val="none" w:sz="0" w:space="0" w:color="auto" w:frame="1"/>
          <w:lang w:eastAsia="cs-CZ"/>
        </w:rPr>
        <w:t>Upozornění</w:t>
      </w:r>
    </w:p>
    <w:p w:rsidR="00F60334" w:rsidRPr="00F60334" w:rsidRDefault="00F60334" w:rsidP="00F60334">
      <w:pPr>
        <w:shd w:val="clear" w:color="auto" w:fill="FEFEFE"/>
        <w:spacing w:after="0" w:line="270" w:lineRule="atLeast"/>
        <w:textAlignment w:val="baseline"/>
        <w:rPr>
          <w:rFonts w:ascii="Arial" w:eastAsia="Times New Roman" w:hAnsi="Arial" w:cs="Arial"/>
          <w:color w:val="494949"/>
          <w:sz w:val="18"/>
          <w:szCs w:val="18"/>
          <w:lang w:eastAsia="cs-CZ"/>
        </w:rPr>
      </w:pPr>
      <w:r w:rsidRPr="00F60334">
        <w:rPr>
          <w:rFonts w:ascii="Arial" w:eastAsia="Times New Roman" w:hAnsi="Arial" w:cs="Arial"/>
          <w:color w:val="494949"/>
          <w:sz w:val="18"/>
          <w:szCs w:val="18"/>
          <w:lang w:eastAsia="cs-CZ"/>
        </w:rPr>
        <w:t>Uchovávejte mimo dosah malých dětí. Výrobek není náhradou pestré stravy. Nepřekračujte doporučené denní dávkování. Láhev pevně zavírejte. Uchovávejte na chladném a suchém místě. Nevhodné pro děti do 3 let.</w:t>
      </w:r>
    </w:p>
    <w:p w:rsidR="00F60334" w:rsidRDefault="00F60334"/>
    <w:p w:rsidR="00F60334" w:rsidRDefault="00F60334">
      <w:bookmarkStart w:id="0" w:name="_GoBack"/>
      <w:bookmarkEnd w:id="0"/>
    </w:p>
    <w:sectPr w:rsidR="00F60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67DA7"/>
    <w:multiLevelType w:val="multilevel"/>
    <w:tmpl w:val="9CFC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0F08CC"/>
    <w:multiLevelType w:val="multilevel"/>
    <w:tmpl w:val="6DF4C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D7C"/>
    <w:rsid w:val="00177D5D"/>
    <w:rsid w:val="004B4D7C"/>
    <w:rsid w:val="00A94CA2"/>
    <w:rsid w:val="00F6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F0131-FC65-464C-9309-F640FF6B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</dc:creator>
  <cp:keywords/>
  <dc:description/>
  <cp:lastModifiedBy>NT</cp:lastModifiedBy>
  <cp:revision>1</cp:revision>
  <dcterms:created xsi:type="dcterms:W3CDTF">2017-02-22T16:10:00Z</dcterms:created>
  <dcterms:modified xsi:type="dcterms:W3CDTF">2017-02-22T16:38:00Z</dcterms:modified>
</cp:coreProperties>
</file>