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keepNext/>
      </w:pPr>
      <w:r>
        <w:rPr>
          <w:color w:val="00000A"/>
          <w:sz w:val="22"/>
          <w:szCs w:val="22"/>
        </w:rPr>
        <w:t xml:space="preserve">Nosným programom je vývoj, výroba a distribúcia elektronických trezorov, mechanických trezorov, skríň na zbrane, spisy a kovového nábytku značky SAFEtronics®. </w:t>
      </w:r>
    </w:p>
    <w:p>
      <w:pPr>
        <w:pStyle w:val="style0"/>
        <w:keepNext/>
        <w:suppressAutoHyphens w:val="true"/>
      </w:pPr>
      <w:r>
        <w:rPr>
          <w:color w:val="00000A"/>
          <w:sz w:val="22"/>
          <w:szCs w:val="22"/>
        </w:rPr>
        <w:t>Ponúkame ucelený rad trezorov, zbraňových a spisových skríň, od jednoduchých kovových skríň, až po trezory a skrine certifikované akreditovanou skúšobňou v 0, I, II, a III bezpečnostnej triede podľa normy STN EN1143-1. V trezoroch sú použité trezorové mechanické zámky Mauer, La Gard a vlastné certifikované elektronické zámky Safetronics a SOPHIA TimeLock.</w:t>
      </w:r>
    </w:p>
    <w:p>
      <w:pPr>
        <w:pStyle w:val="style0"/>
        <w:spacing w:after="28" w:before="28" w:line="100" w:lineRule="atLeast"/>
      </w:pPr>
      <w:r>
        <w:rPr>
          <w:rFonts w:eastAsia="Times New Roman"/>
          <w:color w:val="00000A"/>
          <w:sz w:val="22"/>
          <w:szCs w:val="22"/>
          <w:lang w:eastAsia="sk-SK"/>
        </w:rPr>
        <w:t xml:space="preserve">Ďalej ponúkame servis trezorov, vývojové a konštrukčné práce v oblasti trezorovej techniky a kovových konštrukcií na zákazku.   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1256665" cy="1485265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  <w:szCs w:val="22"/>
        </w:rPr>
        <w:t>Novinka :</w:t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1157605" cy="115189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 w:val="false"/>
          <w:color w:val="00000A"/>
          <w:sz w:val="22"/>
          <w:szCs w:val="22"/>
        </w:rPr>
        <w:t>NT 39ME SOPHIA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 xml:space="preserve">Elektronický zámok SOPHIA TimeLock s pripojením k PC umožňuje kontrolovať prístup až 10 nezávislých užívateľov, rôzne režimy činnosti, časový zámok, história otvárania a veľa iných nastaviteľných funkcií. 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>Cena  612€ s DPH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</w:rPr>
        <w:t>Najpredávanejší sortiment: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1123315" cy="90424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90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Nábytkové trezory rady NT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certifikované v I. bezpečnostnej triede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overená spoľahlivá konštrukcia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rôzne kombinácie zámkov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Stenové trezory ST</w:t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970915" cy="71374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certifikované v 0. alebo I. bezpečnostnej triede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 xml:space="preserve">- kvalitné materiály a zamurovanie zaručujú vysoká bezpečnosť 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rôzne varianty zámkov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664210" cy="113284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13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Trezorové skrine TSS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certifikované v I. bezpečnostnej triede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spisové alebo zbraňové verzie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- na uloženie väčšieho množstva cenností, dokumentov, alebo zbraní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 xml:space="preserve"> 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</w:rPr>
        <w:t>viac podrobností na www.safetronics.sk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</w:rPr>
      </w:r>
    </w:p>
    <w:p>
      <w:pPr>
        <w:pStyle w:val="style0"/>
        <w:spacing w:after="0" w:before="0" w:line="100" w:lineRule="atLeast"/>
        <w:jc w:val="left"/>
      </w:pPr>
      <w:r>
        <w:rPr>
          <w:rFonts w:eastAsia="Times New Roman"/>
          <w:color w:val="00000A"/>
          <w:sz w:val="22"/>
          <w:szCs w:val="22"/>
          <w:lang w:eastAsia="sk-SK"/>
        </w:rPr>
        <w:t>SAFETRONICS a.s.</w:t>
      </w:r>
    </w:p>
    <w:p>
      <w:pPr>
        <w:pStyle w:val="style0"/>
        <w:spacing w:after="0" w:before="0" w:line="100" w:lineRule="atLeast"/>
        <w:jc w:val="left"/>
      </w:pPr>
      <w:r>
        <w:rPr>
          <w:rFonts w:eastAsia="Times New Roman"/>
          <w:bCs/>
          <w:color w:val="00000A"/>
          <w:sz w:val="22"/>
          <w:szCs w:val="22"/>
          <w:lang w:eastAsia="sk-SK"/>
        </w:rPr>
        <w:t>Zvolenská cesta 14</w:t>
      </w:r>
      <w:r>
        <w:rPr>
          <w:rFonts w:eastAsia="Times New Roman"/>
          <w:color w:val="00000A"/>
          <w:sz w:val="22"/>
          <w:szCs w:val="22"/>
          <w:lang w:eastAsia="sk-SK"/>
        </w:rPr>
        <w:br/>
        <w:t>974 05 Banská Bystrica</w:t>
      </w:r>
    </w:p>
    <w:p>
      <w:pPr>
        <w:pStyle w:val="style0"/>
        <w:spacing w:after="0" w:before="0" w:line="100" w:lineRule="atLeast"/>
        <w:jc w:val="left"/>
      </w:pPr>
      <w:r>
        <w:rPr>
          <w:rFonts w:eastAsia="Times New Roman"/>
          <w:color w:val="00000A"/>
          <w:sz w:val="22"/>
          <w:szCs w:val="22"/>
          <w:lang w:eastAsia="sk-SK"/>
        </w:rPr>
        <w:t>Slovensk</w:t>
      </w:r>
      <w:r>
        <w:rPr>
          <w:rFonts w:eastAsia="Times New Roman"/>
          <w:b/>
          <w:color w:val="00000A"/>
          <w:sz w:val="22"/>
          <w:szCs w:val="22"/>
          <w:lang w:eastAsia="sk-SK"/>
        </w:rPr>
        <w:t>o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  <w:szCs w:val="22"/>
        </w:rPr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>Obchodné oddelenie: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>tel:  048/416 39 86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>mob: 0918 967 978</w:t>
      </w:r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color w:val="00000A"/>
          <w:sz w:val="24"/>
          <w:szCs w:val="24"/>
        </w:rPr>
        <w:t>mail:</w:t>
      </w:r>
      <w:r>
        <w:rPr/>
        <w:t xml:space="preserve"> </w:t>
      </w:r>
      <w:hyperlink r:id="rId7">
        <w:r>
          <w:rPr>
            <w:rStyle w:val="style17"/>
            <w:sz w:val="22"/>
            <w:szCs w:val="22"/>
          </w:rPr>
          <w:t>obchod@safetronics.sk</w:t>
        </w:r>
      </w:hyperlink>
    </w:p>
    <w:p>
      <w:pPr>
        <w:pStyle w:val="style0"/>
        <w:suppressAutoHyphens w:val="true"/>
        <w:spacing w:after="0" w:before="0" w:line="100" w:lineRule="atLeast"/>
        <w:jc w:val="left"/>
      </w:pPr>
      <w:hyperlink r:id="rId8">
        <w:r>
          <w:rPr>
            <w:rStyle w:val="style17"/>
            <w:sz w:val="22"/>
            <w:szCs w:val="22"/>
          </w:rPr>
          <w:t>www.safetronics.sk</w:t>
        </w:r>
      </w:hyperlink>
    </w:p>
    <w:p>
      <w:pPr>
        <w:pStyle w:val="style0"/>
        <w:suppressAutoHyphens w:val="true"/>
        <w:spacing w:after="0" w:before="0" w:line="100" w:lineRule="atLeast"/>
        <w:jc w:val="left"/>
      </w:pPr>
      <w:r>
        <w:rPr>
          <w:b/>
          <w:color w:val="00000A"/>
          <w:sz w:val="22"/>
          <w:szCs w:val="22"/>
        </w:rPr>
      </w:r>
    </w:p>
    <w:p>
      <w:pPr>
        <w:pStyle w:val="style0"/>
        <w:spacing w:after="0" w:before="0" w:line="100" w:lineRule="atLeast"/>
        <w:jc w:val="left"/>
      </w:pPr>
      <w:r>
        <w:rPr>
          <w:rFonts w:eastAsia="Times New Roman"/>
          <w:color w:val="00000A"/>
          <w:sz w:val="22"/>
          <w:szCs w:val="22"/>
          <w:lang w:eastAsia="sk-SK"/>
        </w:rPr>
        <w:t xml:space="preserve">Firemné údaje: </w:t>
      </w:r>
    </w:p>
    <w:p>
      <w:pPr>
        <w:pStyle w:val="style0"/>
        <w:spacing w:after="0" w:before="0" w:line="100" w:lineRule="atLeast"/>
        <w:jc w:val="left"/>
      </w:pPr>
      <w:r>
        <w:rPr>
          <w:color w:val="00000A"/>
          <w:sz w:val="22"/>
          <w:szCs w:val="22"/>
        </w:rPr>
        <w:t xml:space="preserve">IČO: 36 029 203 </w:t>
        <w:br/>
        <w:t xml:space="preserve">DIČ: 2020086970 </w:t>
        <w:br/>
        <w:t xml:space="preserve">IČ DPH: SK2020086970 </w:t>
        <w:br/>
        <w:t>Obchodný register Obchodného súdu v Banskej Bystrici Odd.Sa V1.482/S</w:t>
      </w:r>
    </w:p>
    <w:sectPr>
      <w:type w:val="nextPage"/>
      <w:pgSz w:h="16838" w:w="11906"/>
      <w:pgMar w:bottom="1134" w:footer="0" w:gutter="0" w:header="0" w:left="1417" w:right="1417" w:top="851"/>
      <w:pgNumType w:fmt="decimal"/>
      <w:formProt w:val="false"/>
      <w:textDirection w:val="lrTb"/>
      <w:docGrid w:charSpace="-14337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Východz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  <w:jc w:val="both"/>
    </w:pPr>
    <w:rPr>
      <w:rFonts w:ascii="Calibri" w:cs="Times New Roman" w:eastAsia="Lucida Sans Unicode" w:hAnsi="Calibri"/>
      <w:color w:val="auto"/>
      <w:sz w:val="28"/>
      <w:szCs w:val="28"/>
      <w:lang w:bidi="ar-SA" w:eastAsia="en-US" w:val="sk-SK"/>
    </w:rPr>
  </w:style>
  <w:style w:styleId="style15" w:type="character">
    <w:name w:val="Default Paragraph Font"/>
    <w:next w:val="style15"/>
    <w:rPr/>
  </w:style>
  <w:style w:styleId="style16" w:type="character">
    <w:name w:val="Silné zvýraznenie"/>
    <w:basedOn w:val="style15"/>
    <w:next w:val="style16"/>
    <w:rPr>
      <w:b/>
      <w:bCs/>
    </w:rPr>
  </w:style>
  <w:style w:styleId="style17" w:type="character">
    <w:name w:val="Internetový odkaz"/>
    <w:basedOn w:val="style15"/>
    <w:next w:val="style17"/>
    <w:rPr>
      <w:color w:val="0000FF"/>
      <w:u w:val="single"/>
      <w:lang w:bidi="sk-SK" w:eastAsia="sk-SK" w:val="sk-SK"/>
    </w:rPr>
  </w:style>
  <w:style w:styleId="style18" w:type="character">
    <w:name w:val="Text bubliny Char"/>
    <w:basedOn w:val="style15"/>
    <w:next w:val="style18"/>
    <w:rPr>
      <w:rFonts w:ascii="Tahoma" w:cs="Tahoma" w:hAnsi="Tahoma"/>
      <w:sz w:val="16"/>
      <w:szCs w:val="16"/>
    </w:rPr>
  </w:style>
  <w:style w:styleId="style19" w:type="character">
    <w:name w:val="ListLabel 1"/>
    <w:next w:val="style19"/>
    <w:rPr>
      <w:sz w:val="20"/>
    </w:rPr>
  </w:style>
  <w:style w:styleId="style20" w:type="character">
    <w:name w:val="ListLabel 2"/>
    <w:next w:val="style20"/>
    <w:rPr>
      <w:rFonts w:cs="Times New Roman"/>
    </w:rPr>
  </w:style>
  <w:style w:styleId="style21" w:type="character">
    <w:name w:val="ListLabel 3"/>
    <w:next w:val="style21"/>
    <w:rPr>
      <w:rFonts w:cs="Courier New"/>
    </w:rPr>
  </w:style>
  <w:style w:styleId="style22" w:type="paragraph">
    <w:name w:val="Nadpis"/>
    <w:basedOn w:val="style0"/>
    <w:next w:val="style23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23" w:type="paragraph">
    <w:name w:val="Telo textu"/>
    <w:basedOn w:val="style0"/>
    <w:next w:val="style23"/>
    <w:pPr>
      <w:spacing w:after="120" w:before="0"/>
    </w:pPr>
    <w:rPr/>
  </w:style>
  <w:style w:styleId="style24" w:type="paragraph">
    <w:name w:val="Zoznam"/>
    <w:basedOn w:val="style23"/>
    <w:next w:val="style24"/>
    <w:pPr/>
    <w:rPr>
      <w:rFonts w:cs="Mangal"/>
    </w:rPr>
  </w:style>
  <w:style w:styleId="style25" w:type="paragraph">
    <w:name w:val="Popisok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Index"/>
    <w:basedOn w:val="style0"/>
    <w:next w:val="style26"/>
    <w:pPr>
      <w:suppressLineNumbers/>
    </w:pPr>
    <w:rPr>
      <w:rFonts w:cs="Mangal"/>
    </w:rPr>
  </w:style>
  <w:style w:styleId="style27" w:type="paragraph">
    <w:name w:val="Normal (Web)"/>
    <w:basedOn w:val="style0"/>
    <w:next w:val="style27"/>
    <w:pPr>
      <w:spacing w:after="28" w:before="28" w:line="100" w:lineRule="atLeast"/>
      <w:jc w:val="left"/>
    </w:pPr>
    <w:rPr>
      <w:rFonts w:ascii="Times New Roman" w:eastAsia="Times New Roman" w:hAnsi="Times New Roman"/>
      <w:color w:val="00000A"/>
      <w:sz w:val="24"/>
      <w:szCs w:val="24"/>
      <w:lang w:eastAsia="sk-SK"/>
    </w:rPr>
  </w:style>
  <w:style w:styleId="style28" w:type="paragraph">
    <w:name w:val="List Paragraph"/>
    <w:basedOn w:val="style0"/>
    <w:next w:val="style28"/>
    <w:pPr>
      <w:ind w:hanging="0" w:left="720" w:right="0"/>
    </w:pPr>
    <w:rPr/>
  </w:style>
  <w:style w:styleId="style29" w:type="paragraph">
    <w:name w:val="Balloon Text"/>
    <w:basedOn w:val="style0"/>
    <w:next w:val="style29"/>
    <w:pPr>
      <w:spacing w:after="0" w:before="0" w:line="100" w:lineRule="atLeast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hyperlink" Target="mailto:obchod@safetronics.sk" TargetMode="External"/><Relationship Id="rId8" Type="http://schemas.openxmlformats.org/officeDocument/2006/relationships/hyperlink" Target="http://www.safetronics.sk/" TargetMode="External"/><Relationship Id="rId9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2012-04-17T09:53:00.00Z</dcterms:created>
  <dc:creator>Frtusova</dc:creator>
  <cp:lastModifiedBy>Frtusova</cp:lastModifiedBy>
  <dcterms:modified xsi:type="dcterms:W3CDTF">2012-04-17T09:53:00.00Z</dcterms:modified>
  <cp:revision>2</cp:revision>
</cp:coreProperties>
</file>